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outlineLvl w:val="9"/>
        <w:rPr>
          <w:rFonts w:hAnsi="宋体"/>
          <w:color w:val="000000" w:themeColor="text1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kern w:val="44"/>
          <w:sz w:val="32"/>
          <w:szCs w:val="32"/>
          <w:u w:val="none"/>
          <w14:textFill>
            <w14:solidFill>
              <w14:schemeClr w14:val="tx1"/>
            </w14:solidFill>
          </w14:textFill>
        </w:rPr>
        <w:t>附件1：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center"/>
        <w:outlineLvl w:val="9"/>
        <w:rPr>
          <w:rFonts w:ascii="华文中宋" w:hAnsi="华文中宋" w:eastAsia="华文中宋"/>
          <w:b/>
          <w:color w:val="000000" w:themeColor="text1"/>
          <w:sz w:val="36"/>
          <w:szCs w:val="36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color w:val="000000" w:themeColor="text1"/>
          <w:sz w:val="36"/>
          <w:szCs w:val="36"/>
          <w:u w:val="none"/>
          <w14:textFill>
            <w14:solidFill>
              <w14:schemeClr w14:val="tx1"/>
            </w14:solidFill>
          </w14:textFill>
        </w:rPr>
        <w:t>安徽工程大学基础性绩效工资</w:t>
      </w:r>
      <w:r>
        <w:rPr>
          <w:rFonts w:hint="eastAsia" w:ascii="华文中宋" w:hAnsi="华文中宋" w:eastAsia="华文中宋"/>
          <w:b/>
          <w:color w:val="000000" w:themeColor="text1"/>
          <w:sz w:val="36"/>
          <w:szCs w:val="36"/>
          <w:u w:val="none"/>
          <w:lang w:eastAsia="zh-CN"/>
          <w14:textFill>
            <w14:solidFill>
              <w14:schemeClr w14:val="tx1"/>
            </w14:solidFill>
          </w14:textFill>
        </w:rPr>
        <w:t>核拨</w:t>
      </w:r>
      <w:r>
        <w:rPr>
          <w:rFonts w:hint="eastAsia" w:ascii="华文中宋" w:hAnsi="华文中宋" w:eastAsia="华文中宋"/>
          <w:b/>
          <w:color w:val="000000" w:themeColor="text1"/>
          <w:sz w:val="36"/>
          <w:szCs w:val="36"/>
          <w:u w:val="none"/>
          <w14:textFill>
            <w14:solidFill>
              <w14:schemeClr w14:val="tx1"/>
            </w14:solidFill>
          </w14:textFill>
        </w:rPr>
        <w:t>办法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outlineLvl w:val="9"/>
        <w:rPr>
          <w:rFonts w:hint="eastAsia" w:ascii="仿宋" w:hAnsi="仿宋" w:eastAsia="仿宋" w:cs="仿宋"/>
          <w:kern w:val="0"/>
          <w:sz w:val="32"/>
          <w:szCs w:val="22"/>
          <w:u w:val="none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outlineLvl w:val="9"/>
        <w:rPr>
          <w:rFonts w:ascii="仿宋" w:hAnsi="仿宋" w:eastAsia="仿宋" w:cs="仿宋"/>
          <w:kern w:val="0"/>
          <w:sz w:val="32"/>
          <w:szCs w:val="22"/>
          <w:u w:val="none"/>
        </w:rPr>
      </w:pP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为逐步建立激励与约束相结合的分配机制，学校以岗位聘用和履行岗位职责为依据，以完成额定工作量为标准，在严格考核的基础上，发放基础性绩效工资。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outlineLvl w:val="9"/>
        <w:rPr>
          <w:rFonts w:ascii="仿宋" w:hAnsi="仿宋" w:eastAsia="仿宋" w:cs="仿宋"/>
          <w:strike w:val="0"/>
          <w:dstrike w:val="0"/>
          <w:kern w:val="0"/>
          <w:sz w:val="32"/>
          <w:szCs w:val="22"/>
          <w:u w:val="none"/>
        </w:rPr>
      </w:pPr>
      <w:r>
        <w:rPr>
          <w:rFonts w:hint="eastAsia" w:ascii="仿宋" w:hAnsi="仿宋" w:eastAsia="仿宋" w:cs="仿宋"/>
          <w:strike w:val="0"/>
          <w:dstrike w:val="0"/>
          <w:kern w:val="0"/>
          <w:sz w:val="32"/>
          <w:szCs w:val="22"/>
          <w:u w:val="none"/>
        </w:rPr>
        <w:t>基础性绩效工资由基础津贴、岗位津贴两部分组成。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outlineLvl w:val="9"/>
        <w:rPr>
          <w:rFonts w:ascii="仿宋" w:hAnsi="仿宋" w:eastAsia="仿宋" w:cs="仿宋"/>
          <w:strike w:val="0"/>
          <w:dstrike w:val="0"/>
          <w:kern w:val="0"/>
          <w:sz w:val="32"/>
          <w:szCs w:val="22"/>
          <w:u w:val="none"/>
        </w:rPr>
      </w:pPr>
      <w:r>
        <w:rPr>
          <w:rFonts w:hint="eastAsia" w:ascii="仿宋" w:hAnsi="仿宋" w:eastAsia="仿宋" w:cs="仿宋"/>
          <w:strike w:val="0"/>
          <w:dstrike w:val="0"/>
          <w:kern w:val="0"/>
          <w:sz w:val="32"/>
          <w:szCs w:val="22"/>
          <w:u w:val="none"/>
        </w:rPr>
        <w:t>一、</w:t>
      </w:r>
      <w:r>
        <w:rPr>
          <w:rFonts w:hint="eastAsia" w:ascii="仿宋" w:hAnsi="仿宋" w:eastAsia="仿宋" w:cs="仿宋"/>
          <w:strike w:val="0"/>
          <w:dstrike w:val="0"/>
          <w:kern w:val="0"/>
          <w:sz w:val="32"/>
          <w:szCs w:val="22"/>
          <w:u w:val="none"/>
          <w:lang w:eastAsia="zh-CN"/>
        </w:rPr>
        <w:t>核拨</w:t>
      </w:r>
      <w:r>
        <w:rPr>
          <w:rFonts w:hint="eastAsia" w:ascii="仿宋" w:hAnsi="仿宋" w:eastAsia="仿宋" w:cs="仿宋"/>
          <w:strike w:val="0"/>
          <w:dstrike w:val="0"/>
          <w:kern w:val="0"/>
          <w:sz w:val="32"/>
          <w:szCs w:val="22"/>
          <w:u w:val="none"/>
        </w:rPr>
        <w:t>标准与依据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outlineLvl w:val="9"/>
        <w:rPr>
          <w:rFonts w:ascii="仿宋" w:hAnsi="仿宋" w:eastAsia="仿宋" w:cs="仿宋"/>
          <w:strike w:val="0"/>
          <w:dstrike w:val="0"/>
          <w:kern w:val="0"/>
          <w:sz w:val="32"/>
          <w:szCs w:val="22"/>
          <w:u w:val="none"/>
        </w:rPr>
      </w:pPr>
      <w:r>
        <w:rPr>
          <w:rFonts w:hint="eastAsia" w:ascii="仿宋" w:hAnsi="仿宋" w:eastAsia="仿宋" w:cs="仿宋"/>
          <w:strike w:val="0"/>
          <w:dstrike w:val="0"/>
          <w:kern w:val="0"/>
          <w:sz w:val="32"/>
          <w:szCs w:val="22"/>
          <w:u w:val="none"/>
        </w:rPr>
        <w:t>（一）</w:t>
      </w:r>
      <w:r>
        <w:rPr>
          <w:rFonts w:hint="eastAsia" w:ascii="仿宋" w:hAnsi="仿宋" w:eastAsia="仿宋" w:cs="仿宋"/>
          <w:strike w:val="0"/>
          <w:dstrike w:val="0"/>
          <w:kern w:val="0"/>
          <w:sz w:val="32"/>
          <w:szCs w:val="22"/>
          <w:u w:val="none"/>
          <w:lang w:eastAsia="zh-CN"/>
        </w:rPr>
        <w:t>核拨</w:t>
      </w:r>
      <w:r>
        <w:rPr>
          <w:rFonts w:hint="eastAsia" w:ascii="仿宋" w:hAnsi="仿宋" w:eastAsia="仿宋" w:cs="仿宋"/>
          <w:strike w:val="0"/>
          <w:dstrike w:val="0"/>
          <w:kern w:val="0"/>
          <w:sz w:val="32"/>
          <w:szCs w:val="22"/>
          <w:u w:val="none"/>
        </w:rPr>
        <w:t>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jc w:val="left"/>
        <w:outlineLvl w:val="9"/>
        <w:rPr>
          <w:rFonts w:hint="eastAsia" w:ascii="仿宋" w:hAnsi="仿宋" w:eastAsia="仿宋" w:cs="仿宋"/>
          <w:strike w:val="0"/>
          <w:dstrike w:val="0"/>
          <w:kern w:val="0"/>
          <w:sz w:val="32"/>
          <w:szCs w:val="22"/>
          <w:u w:val="none"/>
        </w:rPr>
      </w:pPr>
      <w:r>
        <w:rPr>
          <w:rFonts w:hint="eastAsia" w:ascii="仿宋" w:hAnsi="仿宋" w:eastAsia="仿宋" w:cs="仿宋"/>
          <w:strike w:val="0"/>
          <w:dstrike w:val="0"/>
          <w:kern w:val="0"/>
          <w:sz w:val="32"/>
          <w:szCs w:val="22"/>
          <w:u w:val="none"/>
        </w:rPr>
        <w:t>基础津贴按现执行的岗位工资确定，根据省有关文件按照芜湖市标准执行。岗位津贴按照目前实际受聘岗位确定。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jc w:val="left"/>
        <w:outlineLvl w:val="9"/>
        <w:rPr>
          <w:rFonts w:ascii="仿宋" w:hAnsi="仿宋" w:eastAsia="仿宋" w:cs="仿宋"/>
          <w:kern w:val="0"/>
          <w:sz w:val="32"/>
          <w:szCs w:val="22"/>
          <w:u w:val="none"/>
        </w:rPr>
      </w:pP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基础性绩效根据二级单位人员聘任情况</w:t>
      </w:r>
      <w:r>
        <w:rPr>
          <w:rFonts w:hint="eastAsia" w:ascii="仿宋" w:hAnsi="仿宋" w:eastAsia="仿宋" w:cs="仿宋"/>
          <w:strike w:val="0"/>
          <w:dstrike w:val="0"/>
          <w:kern w:val="0"/>
          <w:sz w:val="32"/>
          <w:szCs w:val="22"/>
          <w:u w:val="none"/>
        </w:rPr>
        <w:t>、各单位核定编制数、专任教师人</w:t>
      </w:r>
      <w:r>
        <w:rPr>
          <w:rFonts w:hint="eastAsia" w:ascii="仿宋" w:hAnsi="仿宋" w:eastAsia="仿宋" w:cs="仿宋"/>
          <w:strike w:val="0"/>
          <w:dstrike w:val="0"/>
          <w:kern w:val="0"/>
          <w:sz w:val="32"/>
          <w:szCs w:val="22"/>
          <w:u w:val="none"/>
          <w:lang w:eastAsia="zh-CN"/>
        </w:rPr>
        <w:t>数</w:t>
      </w:r>
      <w:r>
        <w:rPr>
          <w:rFonts w:hint="eastAsia" w:ascii="仿宋" w:hAnsi="仿宋" w:eastAsia="仿宋" w:cs="仿宋"/>
          <w:strike w:val="0"/>
          <w:dstrike w:val="0"/>
          <w:kern w:val="0"/>
          <w:sz w:val="32"/>
          <w:szCs w:val="22"/>
          <w:u w:val="none"/>
        </w:rPr>
        <w:t>等情况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核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拨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。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核拨（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预算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）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值为：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800" w:firstLineChars="250"/>
        <w:jc w:val="left"/>
        <w:outlineLvl w:val="9"/>
        <w:rPr>
          <w:rFonts w:ascii="仿宋" w:hAnsi="仿宋" w:eastAsia="仿宋" w:cs="仿宋"/>
          <w:kern w:val="0"/>
          <w:sz w:val="32"/>
          <w:szCs w:val="22"/>
          <w:u w:val="none"/>
        </w:rPr>
      </w:pP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核拨（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预算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）值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=Σ（B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vertAlign w:val="subscript"/>
        </w:rPr>
        <w:t>i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×N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vertAlign w:val="subscript"/>
        </w:rPr>
        <w:t>i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800" w:firstLineChars="250"/>
        <w:jc w:val="left"/>
        <w:outlineLvl w:val="9"/>
        <w:rPr>
          <w:rFonts w:ascii="仿宋" w:hAnsi="仿宋" w:eastAsia="仿宋" w:cs="仿宋"/>
          <w:kern w:val="0"/>
          <w:sz w:val="32"/>
          <w:szCs w:val="22"/>
          <w:u w:val="none"/>
        </w:rPr>
      </w:pP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其中，B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vertAlign w:val="subscript"/>
        </w:rPr>
        <w:t>i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为不同岗位基础性绩效标准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（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见表1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）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，N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vertAlign w:val="subscript"/>
        </w:rPr>
        <w:t>i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为各岗位实际受聘人数。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outlineLvl w:val="9"/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学校分类分级制定专业技术岗位（主体岗与辅助岗）、党政管理岗位、工勤技能岗位津贴系数，实行一岗一薪，适当拉开差距。学校根据核定的绩效工资总量和财力情况，适时调整岗位津贴。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各学院可参照学校标准，制定本单位岗位津贴发放标准。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outlineLvl w:val="9"/>
        <w:rPr>
          <w:rFonts w:ascii="仿宋" w:hAnsi="仿宋" w:eastAsia="仿宋" w:cs="仿宋"/>
          <w:kern w:val="0"/>
          <w:sz w:val="32"/>
          <w:szCs w:val="22"/>
          <w:u w:val="none"/>
        </w:rPr>
      </w:pP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（二）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核拨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依据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outlineLvl w:val="9"/>
        <w:rPr>
          <w:rFonts w:ascii="仿宋" w:hAnsi="仿宋" w:eastAsia="仿宋" w:cs="仿宋"/>
          <w:kern w:val="0"/>
          <w:sz w:val="32"/>
          <w:szCs w:val="22"/>
          <w:u w:val="none"/>
        </w:rPr>
      </w:pP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1.受聘各类岗位的教职工必须认真履行岗位职责、承担并完成规定的工作量（工作任务）。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outlineLvl w:val="9"/>
        <w:rPr>
          <w:rFonts w:ascii="仿宋" w:hAnsi="仿宋" w:eastAsia="仿宋" w:cs="仿宋"/>
          <w:kern w:val="0"/>
          <w:sz w:val="32"/>
          <w:szCs w:val="22"/>
          <w:u w:val="none"/>
        </w:rPr>
      </w:pP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2.受聘专业技术岗位的教职工额定工作量按照《安徽工程大学教师岗位职责与考核暂行办法》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及聘任协议等相关文件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执行。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outlineLvl w:val="9"/>
        <w:rPr>
          <w:rFonts w:hint="eastAsia" w:ascii="仿宋" w:hAnsi="仿宋" w:eastAsia="仿宋" w:cs="仿宋"/>
          <w:kern w:val="0"/>
          <w:sz w:val="32"/>
          <w:szCs w:val="22"/>
          <w:u w:val="none"/>
        </w:rPr>
      </w:pP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3.受聘党政管理、工勤技能岗位的教职工按其年度考核情况核发岗位津贴。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outlineLvl w:val="9"/>
        <w:rPr>
          <w:rFonts w:ascii="仿宋" w:hAnsi="仿宋" w:eastAsia="仿宋" w:cs="仿宋"/>
          <w:kern w:val="0"/>
          <w:sz w:val="32"/>
          <w:szCs w:val="22"/>
          <w:u w:val="none"/>
        </w:rPr>
      </w:pPr>
      <w:r>
        <w:rPr>
          <w:rFonts w:hint="eastAsia" w:ascii="仿宋" w:hAnsi="仿宋" w:eastAsia="仿宋" w:cs="仿宋"/>
          <w:kern w:val="0"/>
          <w:sz w:val="32"/>
          <w:szCs w:val="22"/>
          <w:u w:val="none"/>
          <w:lang w:val="en-US" w:eastAsia="zh-CN"/>
        </w:rPr>
        <w:t>4.根据教育部46号令、皖教组发〔2020〕1号、皖教工委〔2020〕94号等文件精神，设立专任思政课教师和专任辅导员岗位津贴，具体标准另行制定。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outlineLvl w:val="9"/>
        <w:rPr>
          <w:rFonts w:ascii="仿宋_GB2312" w:hAnsi="仿宋" w:eastAsia="仿宋_GB2312"/>
          <w:color w:val="000000"/>
          <w:sz w:val="32"/>
          <w:szCs w:val="32"/>
          <w:u w:val="none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u w:val="none"/>
        </w:rPr>
        <w:t>表1：安徽工程大学基础性</w:t>
      </w:r>
      <w:r>
        <w:rPr>
          <w:rFonts w:hint="eastAsia" w:ascii="仿宋_GB2312" w:hAnsi="仿宋" w:eastAsia="仿宋_GB2312"/>
          <w:color w:val="000000"/>
          <w:sz w:val="32"/>
          <w:szCs w:val="32"/>
          <w:u w:val="none"/>
          <w:lang w:eastAsia="zh-CN"/>
        </w:rPr>
        <w:t>绩效</w:t>
      </w:r>
      <w:r>
        <w:rPr>
          <w:rFonts w:hint="eastAsia" w:ascii="仿宋_GB2312" w:hAnsi="仿宋" w:eastAsia="仿宋_GB2312"/>
          <w:color w:val="000000"/>
          <w:sz w:val="32"/>
          <w:szCs w:val="32"/>
          <w:u w:val="none"/>
        </w:rPr>
        <w:t>工资标准表</w:t>
      </w:r>
    </w:p>
    <w:tbl>
      <w:tblPr>
        <w:tblStyle w:val="7"/>
        <w:tblW w:w="807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1054"/>
        <w:gridCol w:w="926"/>
        <w:gridCol w:w="1094"/>
        <w:gridCol w:w="1280"/>
        <w:gridCol w:w="1286"/>
        <w:gridCol w:w="18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b/>
                <w:bCs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  <w:u w:val="none"/>
              </w:rPr>
              <w:t>岗位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b/>
                <w:bCs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  <w:u w:val="none"/>
              </w:rPr>
              <w:t>职务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b/>
                <w:bCs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  <w:u w:val="none"/>
              </w:rPr>
              <w:t>职级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b/>
                <w:bCs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  <w:u w:val="none"/>
              </w:rPr>
              <w:t>基础津贴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b/>
                <w:bCs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  <w:u w:val="none"/>
              </w:rPr>
              <w:t>岗位津贴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b/>
                <w:bCs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  <w:u w:val="none"/>
              </w:rPr>
              <w:t>合计（B）</w:t>
            </w:r>
          </w:p>
        </w:tc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b/>
                <w:bCs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  <w:u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专</w:t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业</w:t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技</w:t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ascii="仿宋" w:hAnsi="仿宋" w:eastAsia="仿宋" w:cs="宋体"/>
                <w:kern w:val="0"/>
                <w:szCs w:val="21"/>
                <w:u w:val="none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-77470</wp:posOffset>
                      </wp:positionH>
                      <wp:positionV relativeFrom="paragraph">
                        <wp:posOffset>358140</wp:posOffset>
                      </wp:positionV>
                      <wp:extent cx="381000" cy="803275"/>
                      <wp:effectExtent l="0" t="0" r="0" b="15875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1000" cy="803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仿宋_GB2312" w:eastAsia="仿宋_GB2312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18"/>
                                      <w:szCs w:val="18"/>
                                    </w:rPr>
                                    <w:t>（定量人员）</w:t>
                                  </w:r>
                                </w:p>
                              </w:txbxContent>
                            </wps:txbx>
                            <wps:bodyPr vert="eaVert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6.1pt;margin-top:28.2pt;height:63.25pt;width:30pt;z-index:-251658240;mso-width-relative:margin;mso-height-relative:page;mso-width-percent:400;" fillcolor="#FFFFFF" filled="t" stroked="f" coordsize="21600,21600" o:gfxdata="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9cLYW2AAAAAkBAAAPAAAAAAAAAAEAIAAAACIAAABkcnMvZG93bnJl&#10;di54bWxQSwECFAAUAAAACACHTuJA0QcAzMQBAABnAwAADgAAAAAAAAABACAAAAAnAQAAZHJzL2Uy&#10;b0RvYy54bWxQSwUGAAAAAAYABgBZAQAAXQUAAAAA&#10;">
                      <v:fill on="t" focussize="0,0"/>
                      <v:stroke on="f"/>
                      <v:imagedata o:title=""/>
                      <o:lock v:ext="edit" aspectratio="f"/>
                      <v:textbox style="layout-flow:vertical-ideographic;mso-fit-shape-to-text:t;">
                        <w:txbxContent>
                          <w:p>
                            <w:pPr>
                              <w:rPr>
                                <w:rFonts w:ascii="仿宋_GB2312" w:eastAsia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18"/>
                                <w:szCs w:val="18"/>
                              </w:rPr>
                              <w:t>（定量人员）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 xml:space="preserve">体      </w:t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岗</w:t>
            </w:r>
          </w:p>
        </w:tc>
        <w:tc>
          <w:tcPr>
            <w:tcW w:w="10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教授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二级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1896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u w:val="none"/>
              </w:rPr>
              <w:t>7030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8926</w:t>
            </w:r>
          </w:p>
        </w:tc>
        <w:tc>
          <w:tcPr>
            <w:tcW w:w="185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outlineLvl w:val="9"/>
              <w:rPr>
                <w:rFonts w:ascii="仿宋" w:hAnsi="仿宋" w:eastAsia="仿宋" w:cs="宋体"/>
                <w:color w:val="auto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Cs w:val="21"/>
                <w:u w:val="none"/>
              </w:rPr>
              <w:t>1.专业技术主体岗包括专任教师、辅导员。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2.</w:t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  <w:lang w:eastAsia="zh-CN"/>
              </w:rPr>
              <w:t>具有其他系列专业技术人员按专业辅助岗核发基础性绩效；如</w:t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受聘教学岗位，可以申请按专业技术主体</w:t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  <w:lang w:eastAsia="zh-CN"/>
              </w:rPr>
              <w:t>岗位</w:t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核发</w:t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  <w:lang w:eastAsia="zh-CN"/>
              </w:rPr>
              <w:t>基础性绩效</w:t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  <w:lang w:eastAsia="zh-CN"/>
              </w:rPr>
              <w:t>按照教师岗位职责</w:t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进行考核。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3.</w:t>
            </w:r>
            <w:r>
              <w:rPr>
                <w:rFonts w:hint="eastAsia" w:ascii="仿宋" w:hAnsi="仿宋" w:eastAsia="仿宋" w:cs="宋体"/>
                <w:strike w:val="0"/>
                <w:kern w:val="0"/>
                <w:szCs w:val="21"/>
                <w:u w:val="none"/>
                <w:lang w:eastAsia="zh-CN"/>
              </w:rPr>
              <w:t>岗位津贴为暂定值</w:t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，根据学校财力和绩效总量情况适时调整。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10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三级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1896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u w:val="none"/>
              </w:rPr>
              <w:t>5825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7721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10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四级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1896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4590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6486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10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副教授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五级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1818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3588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5406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10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六级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1818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3270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5088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10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七级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1818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3060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4878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10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讲师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八级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1745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u w:val="none"/>
              </w:rPr>
              <w:t>2521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4266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10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bCs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Cs w:val="21"/>
                <w:u w:val="none"/>
              </w:rPr>
              <w:t>九级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bCs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1745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outlineLvl w:val="9"/>
              <w:rPr>
                <w:rFonts w:ascii="仿宋" w:hAnsi="仿宋" w:eastAsia="仿宋" w:cs="宋体"/>
                <w:bCs/>
                <w:kern w:val="0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u w:val="none"/>
              </w:rPr>
              <w:t>2510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bCs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Cs w:val="21"/>
                <w:u w:val="none"/>
              </w:rPr>
              <w:t>4255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  <w:shd w:val="clear" w:color="000000" w:fill="FFFF00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b/>
                <w:bCs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10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十级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1745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2499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4244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10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助教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十一级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1665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2270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3935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10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十二级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1665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2244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3909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员级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十三级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1665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2142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3807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政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管</w:t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理</w:t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岗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正厅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三级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2518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6120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8638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副厅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四级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2232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5100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7332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正处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五级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2016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3825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5841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副处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六级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1843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3060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4903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正科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七级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1705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2550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4255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副科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八级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1665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2423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4088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科员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九级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1665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2244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3909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办事员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十级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1665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2142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3807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专</w:t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业</w:t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技</w:t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 xml:space="preserve">助      </w:t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岗</w:t>
            </w:r>
          </w:p>
        </w:tc>
        <w:tc>
          <w:tcPr>
            <w:tcW w:w="10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正高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三级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1896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5009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6905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10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四级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1896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4029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5925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10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副高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五级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1818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3180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4998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10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六级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1818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2888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4706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10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七级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1818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2805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4623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10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中级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八级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1745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2470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4215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10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九级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1745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2357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4102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10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十级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1745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2295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4040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10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助理级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十一级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1665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2270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3935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10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十二级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1665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2244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3909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员级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十三级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1665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2142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3807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工</w:t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勤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能</w:t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岗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技师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二级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1740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2397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4137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高级工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三级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1740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2169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3909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中级工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四级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1720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2040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 xml:space="preserve">3760 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初级工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五级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1720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2040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3760</w:t>
            </w:r>
          </w:p>
        </w:tc>
        <w:tc>
          <w:tcPr>
            <w:tcW w:w="18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普通工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　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1720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 xml:space="preserve">2040 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u w:val="none"/>
              </w:rPr>
              <w:t>3760</w:t>
            </w:r>
          </w:p>
        </w:tc>
        <w:tc>
          <w:tcPr>
            <w:tcW w:w="185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outlineLvl w:val="9"/>
              <w:rPr>
                <w:rFonts w:ascii="仿宋" w:hAnsi="仿宋" w:eastAsia="仿宋" w:cs="宋体"/>
                <w:kern w:val="0"/>
                <w:szCs w:val="21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480"/>
        <w:jc w:val="center"/>
        <w:outlineLvl w:val="9"/>
        <w:rPr>
          <w:rFonts w:ascii="仿宋" w:hAnsi="仿宋" w:eastAsia="仿宋" w:cs="仿宋"/>
          <w:kern w:val="0"/>
          <w:sz w:val="32"/>
          <w:szCs w:val="22"/>
          <w:u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outlineLvl w:val="9"/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二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、管理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与发放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outlineLvl w:val="9"/>
        <w:rPr>
          <w:rFonts w:ascii="仿宋" w:hAnsi="仿宋" w:eastAsia="仿宋" w:cs="仿宋"/>
          <w:kern w:val="0"/>
          <w:sz w:val="32"/>
          <w:szCs w:val="22"/>
          <w:u w:val="none"/>
        </w:rPr>
      </w:pP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（一）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专业技术主体岗位（专任教师、辅导员）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outlineLvl w:val="9"/>
        <w:rPr>
          <w:rFonts w:ascii="仿宋" w:hAnsi="仿宋" w:eastAsia="仿宋" w:cs="仿宋"/>
          <w:kern w:val="0"/>
          <w:sz w:val="32"/>
          <w:szCs w:val="22"/>
          <w:u w:val="none"/>
        </w:rPr>
      </w:pPr>
      <w:r>
        <w:rPr>
          <w:rFonts w:hint="eastAsia" w:ascii="仿宋" w:hAnsi="仿宋" w:eastAsia="仿宋" w:cs="仿宋"/>
          <w:kern w:val="0"/>
          <w:sz w:val="32"/>
          <w:szCs w:val="22"/>
          <w:u w:val="none"/>
          <w:lang w:val="en-US" w:eastAsia="zh-CN"/>
        </w:rPr>
        <w:t>1.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履行岗位职责，完成年度额定教学科研工作量（或学生管理工作量），教学质量考核合格及以上，年度考核合格及以上的，</w:t>
      </w:r>
      <w:r>
        <w:rPr>
          <w:rFonts w:hint="eastAsia" w:ascii="仿宋" w:hAnsi="仿宋" w:eastAsia="仿宋" w:cs="仿宋"/>
          <w:strike w:val="0"/>
          <w:dstrike w:val="0"/>
          <w:kern w:val="0"/>
          <w:sz w:val="32"/>
          <w:szCs w:val="22"/>
          <w:u w:val="none"/>
        </w:rPr>
        <w:t>按月全额发放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基础性绩效工资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outlineLvl w:val="9"/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22"/>
          <w:u w:val="none"/>
          <w:lang w:val="en-US" w:eastAsia="zh-CN"/>
        </w:rPr>
        <w:t>2.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基础性绩效工资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与教学（学生管理）、科研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额定工作量完成情况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挂钩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。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各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学院可根据学校规定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自主设定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本学院各类岗位的额定工作量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。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基础性绩效工资扣减情况由所在学院认定报学校备案。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outlineLvl w:val="9"/>
        <w:rPr>
          <w:rFonts w:ascii="仿宋" w:hAnsi="仿宋" w:eastAsia="仿宋" w:cs="仿宋"/>
          <w:kern w:val="0"/>
          <w:sz w:val="32"/>
          <w:szCs w:val="22"/>
          <w:u w:val="none"/>
        </w:rPr>
      </w:pP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（二）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专业技术辅助岗位</w:t>
      </w:r>
      <w:r>
        <w:rPr>
          <w:rFonts w:hint="eastAsia" w:ascii="仿宋" w:hAnsi="仿宋" w:eastAsia="仿宋" w:cs="仿宋"/>
          <w:strike w:val="0"/>
          <w:dstrike w:val="0"/>
          <w:kern w:val="0"/>
          <w:sz w:val="32"/>
          <w:szCs w:val="22"/>
          <w:u w:val="none"/>
        </w:rPr>
        <w:t>（</w:t>
      </w:r>
      <w:r>
        <w:rPr>
          <w:rFonts w:hint="eastAsia" w:ascii="仿宋" w:hAnsi="仿宋" w:eastAsia="仿宋" w:cs="仿宋"/>
          <w:strike w:val="0"/>
          <w:dstrike w:val="0"/>
          <w:kern w:val="0"/>
          <w:sz w:val="32"/>
          <w:szCs w:val="22"/>
          <w:u w:val="none"/>
          <w:lang w:eastAsia="zh-CN"/>
        </w:rPr>
        <w:t>各教学单位设置的专业技术辅助岗位、教辅、后勤保障、机关等单位的专业技术人员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outlineLvl w:val="9"/>
        <w:rPr>
          <w:rFonts w:ascii="仿宋" w:hAnsi="仿宋" w:eastAsia="仿宋" w:cs="仿宋"/>
          <w:kern w:val="0"/>
          <w:sz w:val="32"/>
          <w:szCs w:val="22"/>
          <w:u w:val="none"/>
        </w:rPr>
      </w:pPr>
      <w:r>
        <w:rPr>
          <w:rFonts w:hint="eastAsia" w:ascii="仿宋" w:hAnsi="仿宋" w:eastAsia="仿宋" w:cs="仿宋"/>
          <w:kern w:val="0"/>
          <w:sz w:val="32"/>
          <w:szCs w:val="22"/>
          <w:u w:val="none"/>
          <w:lang w:val="en-US" w:eastAsia="zh-CN"/>
        </w:rPr>
        <w:t>1.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履行岗位职责，完成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岗位对应的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科研工作量和其他工作任务，年度考核合格及以上的，</w:t>
      </w:r>
      <w:r>
        <w:rPr>
          <w:rFonts w:hint="eastAsia" w:ascii="仿宋" w:hAnsi="仿宋" w:eastAsia="仿宋" w:cs="仿宋"/>
          <w:strike w:val="0"/>
          <w:dstrike w:val="0"/>
          <w:kern w:val="0"/>
          <w:sz w:val="32"/>
          <w:szCs w:val="22"/>
          <w:u w:val="none"/>
        </w:rPr>
        <w:t>按月全额发放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基础性绩效工资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outlineLvl w:val="9"/>
        <w:rPr>
          <w:rFonts w:hint="eastAsia" w:ascii="仿宋" w:hAnsi="仿宋" w:eastAsia="仿宋" w:cs="仿宋"/>
          <w:kern w:val="0"/>
          <w:sz w:val="32"/>
          <w:szCs w:val="22"/>
          <w:u w:val="none"/>
        </w:rPr>
      </w:pPr>
      <w:r>
        <w:rPr>
          <w:rFonts w:hint="eastAsia" w:ascii="仿宋" w:hAnsi="仿宋" w:eastAsia="仿宋" w:cs="仿宋"/>
          <w:kern w:val="0"/>
          <w:sz w:val="32"/>
          <w:szCs w:val="22"/>
          <w:u w:val="none"/>
          <w:lang w:val="en-US" w:eastAsia="zh-CN"/>
        </w:rPr>
        <w:t>2.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基础性绩效工资与岗位职责、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科研工作量和其他工作任务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履行情况挂钩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，具体办法由各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单位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确定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。基础性绩效工资扣减情况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由所在单位认定并报学校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备案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outlineLvl w:val="9"/>
        <w:rPr>
          <w:rFonts w:hint="eastAsia" w:ascii="仿宋" w:hAnsi="仿宋" w:eastAsia="仿宋" w:cs="仿宋"/>
          <w:kern w:val="0"/>
          <w:sz w:val="32"/>
          <w:szCs w:val="22"/>
          <w:u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22"/>
          <w:u w:val="none"/>
          <w:lang w:val="en-US" w:eastAsia="zh-CN"/>
        </w:rPr>
        <w:t>3.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各教学单位设置的专业技术辅助岗位可申请按照专业技术主体岗位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核发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基础性绩效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，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并按照教师岗位职责进行考核。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outlineLvl w:val="9"/>
        <w:rPr>
          <w:rFonts w:ascii="仿宋" w:hAnsi="仿宋" w:eastAsia="仿宋" w:cs="仿宋"/>
          <w:kern w:val="0"/>
          <w:sz w:val="32"/>
          <w:szCs w:val="22"/>
          <w:u w:val="none"/>
        </w:rPr>
      </w:pP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（三）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党政管理、工勤技能岗位（机关管理人员、学院专职管理人员、后勤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保障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人员、工勤技能人员）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outlineLvl w:val="9"/>
        <w:rPr>
          <w:rFonts w:ascii="仿宋" w:hAnsi="仿宋" w:eastAsia="仿宋" w:cs="仿宋"/>
          <w:kern w:val="0"/>
          <w:sz w:val="32"/>
          <w:szCs w:val="22"/>
          <w:u w:val="none"/>
        </w:rPr>
      </w:pPr>
      <w:r>
        <w:rPr>
          <w:rFonts w:hint="eastAsia" w:ascii="仿宋" w:hAnsi="仿宋" w:eastAsia="仿宋" w:cs="仿宋"/>
          <w:kern w:val="0"/>
          <w:sz w:val="32"/>
          <w:szCs w:val="22"/>
          <w:u w:val="none"/>
          <w:lang w:val="en-US" w:eastAsia="zh-CN"/>
        </w:rPr>
        <w:t>1.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履行岗位职责，完成管理和服务工作任务，年度考核合格及以上的，按月全额发放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基础性绩效工资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outlineLvl w:val="9"/>
        <w:rPr>
          <w:rFonts w:hint="eastAsia" w:ascii="仿宋" w:hAnsi="仿宋" w:eastAsia="仿宋" w:cs="仿宋"/>
          <w:kern w:val="0"/>
          <w:sz w:val="32"/>
          <w:szCs w:val="22"/>
          <w:u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22"/>
          <w:u w:val="none"/>
          <w:lang w:val="en-US" w:eastAsia="zh-CN"/>
        </w:rPr>
        <w:t>2.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基础性绩效工资与岗位职责履行情况挂钩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，具体办法由各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单位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确定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。基础性绩效工资扣减情况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由所在单位认定并报学校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备案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outlineLvl w:val="9"/>
        <w:rPr>
          <w:rFonts w:hint="eastAsia" w:ascii="仿宋" w:hAnsi="仿宋" w:eastAsia="仿宋" w:cs="仿宋"/>
          <w:kern w:val="0"/>
          <w:sz w:val="32"/>
          <w:szCs w:val="22"/>
          <w:u w:val="none"/>
        </w:rPr>
      </w:pPr>
      <w:r>
        <w:rPr>
          <w:rFonts w:hint="eastAsia" w:ascii="仿宋" w:hAnsi="仿宋" w:eastAsia="仿宋" w:cs="仿宋"/>
          <w:kern w:val="0"/>
          <w:sz w:val="32"/>
          <w:szCs w:val="22"/>
          <w:u w:val="none"/>
          <w:lang w:val="en-US" w:eastAsia="zh-CN"/>
        </w:rPr>
        <w:t>3.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受聘管理岗位同时具有专业技术职务的人员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，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年度考核合格及以上，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完成专业技术职务对应的教学科研工作量（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教学科研考核按教师岗位职责与考核办法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等相关文件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执行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），其基础性绩效工资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可以就高执行。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800" w:firstLineChars="250"/>
        <w:jc w:val="left"/>
        <w:outlineLvl w:val="9"/>
        <w:rPr>
          <w:rFonts w:ascii="仿宋" w:hAnsi="仿宋" w:eastAsia="仿宋" w:cs="仿宋"/>
          <w:kern w:val="0"/>
          <w:sz w:val="32"/>
          <w:szCs w:val="22"/>
          <w:u w:val="none"/>
        </w:rPr>
      </w:pP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三、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其他相关规定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jc w:val="left"/>
        <w:outlineLvl w:val="9"/>
        <w:rPr>
          <w:rFonts w:hint="eastAsia" w:ascii="仿宋" w:hAnsi="仿宋" w:eastAsia="仿宋" w:cs="仿宋"/>
          <w:kern w:val="0"/>
          <w:sz w:val="32"/>
          <w:szCs w:val="22"/>
          <w:u w:val="none"/>
        </w:rPr>
      </w:pP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1.基础性绩效工资原则上按照聘任岗位类型核拨。岗位或职务变动人员，从变动的次月起按新聘岗位核发基础性绩效。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jc w:val="left"/>
        <w:outlineLvl w:val="9"/>
        <w:rPr>
          <w:rFonts w:hint="eastAsia" w:ascii="仿宋" w:hAnsi="仿宋" w:eastAsia="仿宋" w:cs="仿宋"/>
          <w:kern w:val="0"/>
          <w:sz w:val="32"/>
          <w:szCs w:val="22"/>
          <w:u w:val="none"/>
        </w:rPr>
      </w:pPr>
      <w:r>
        <w:rPr>
          <w:rFonts w:hint="eastAsia" w:ascii="仿宋" w:hAnsi="仿宋" w:eastAsia="仿宋" w:cs="仿宋"/>
          <w:kern w:val="0"/>
          <w:sz w:val="32"/>
          <w:szCs w:val="22"/>
          <w:u w:val="none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.新参加工作的人员，依据规定明确岗位职级后，按所聘岗位职级执行相应标准。当年进入学校工作的人员按所聘岗位执行相应标准。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jc w:val="left"/>
        <w:outlineLvl w:val="9"/>
        <w:rPr>
          <w:rFonts w:hint="eastAsia" w:ascii="仿宋" w:hAnsi="仿宋" w:eastAsia="仿宋" w:cs="仿宋"/>
          <w:kern w:val="0"/>
          <w:sz w:val="32"/>
          <w:szCs w:val="22"/>
          <w:u w:val="none"/>
        </w:rPr>
      </w:pPr>
      <w:r>
        <w:rPr>
          <w:rFonts w:hint="eastAsia" w:ascii="仿宋" w:hAnsi="仿宋" w:eastAsia="仿宋" w:cs="仿宋"/>
          <w:kern w:val="0"/>
          <w:sz w:val="32"/>
          <w:szCs w:val="22"/>
          <w:u w:val="none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.教职工到龄当月办理退休手续，次月起停发在职基础性绩效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工资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；辞职、调离人员，从辞职或调离之日起停发校内所有待遇；校内调动人员，调动次月起计入新单位。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jc w:val="left"/>
        <w:outlineLvl w:val="9"/>
        <w:rPr>
          <w:rFonts w:hint="eastAsia" w:ascii="仿宋" w:hAnsi="仿宋" w:eastAsia="仿宋" w:cs="仿宋"/>
          <w:kern w:val="0"/>
          <w:sz w:val="32"/>
          <w:szCs w:val="22"/>
          <w:u w:val="none"/>
        </w:rPr>
      </w:pPr>
      <w:r>
        <w:rPr>
          <w:rFonts w:hint="eastAsia" w:ascii="仿宋" w:hAnsi="仿宋" w:eastAsia="仿宋" w:cs="仿宋"/>
          <w:kern w:val="0"/>
          <w:sz w:val="32"/>
          <w:szCs w:val="22"/>
          <w:u w:val="none"/>
          <w:lang w:val="en-US" w:eastAsia="zh-CN"/>
        </w:rPr>
        <w:t>4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.经批准扶贫支教、挂职锻炼、党校学习等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人员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基础性绩效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全额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核拨。经批准国内外访学研修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、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在职攻读博士学历学位人员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绩效工资发放情况见附件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640" w:firstLineChars="200"/>
        <w:jc w:val="left"/>
        <w:outlineLvl w:val="9"/>
        <w:rPr>
          <w:rFonts w:hint="eastAsia" w:ascii="仿宋" w:hAnsi="仿宋" w:eastAsia="仿宋" w:cs="仿宋"/>
          <w:b w:val="0"/>
          <w:bCs w:val="0"/>
          <w:kern w:val="0"/>
          <w:sz w:val="32"/>
          <w:szCs w:val="22"/>
          <w:u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22"/>
          <w:u w:val="none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.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各单位基础性绩效工资总量动态调整，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根据各单位增员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、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减员、职称职务变动等情况进行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  <w:lang w:eastAsia="zh-CN"/>
        </w:rPr>
        <w:t>调节</w:t>
      </w:r>
      <w:r>
        <w:rPr>
          <w:rFonts w:hint="eastAsia" w:ascii="仿宋" w:hAnsi="仿宋" w:eastAsia="仿宋" w:cs="仿宋"/>
          <w:kern w:val="0"/>
          <w:sz w:val="32"/>
          <w:szCs w:val="22"/>
          <w:u w:val="non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640" w:firstLineChars="200"/>
        <w:jc w:val="left"/>
        <w:outlineLvl w:val="9"/>
        <w:rPr>
          <w:rFonts w:ascii="宋体" w:hAnsi="宋体" w:cs="宋体"/>
          <w:spacing w:val="-2"/>
          <w:kern w:val="0"/>
          <w:sz w:val="24"/>
          <w:u w:val="none"/>
        </w:rPr>
      </w:pPr>
      <w:r>
        <w:rPr>
          <w:rFonts w:hint="eastAsia" w:ascii="仿宋" w:hAnsi="仿宋" w:eastAsia="仿宋" w:cs="仿宋"/>
          <w:b w:val="0"/>
          <w:bCs w:val="0"/>
          <w:strike w:val="0"/>
          <w:dstrike w:val="0"/>
          <w:kern w:val="0"/>
          <w:sz w:val="32"/>
          <w:szCs w:val="22"/>
          <w:u w:val="none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strike w:val="0"/>
          <w:dstrike w:val="0"/>
          <w:kern w:val="0"/>
          <w:sz w:val="32"/>
          <w:szCs w:val="22"/>
          <w:u w:val="none"/>
        </w:rPr>
        <w:t>.</w:t>
      </w:r>
      <w:r>
        <w:rPr>
          <w:rFonts w:hint="eastAsia" w:ascii="仿宋" w:hAnsi="仿宋" w:eastAsia="仿宋" w:cs="仿宋"/>
          <w:b w:val="0"/>
          <w:bCs w:val="0"/>
          <w:strike w:val="0"/>
          <w:dstrike w:val="0"/>
          <w:kern w:val="0"/>
          <w:sz w:val="32"/>
          <w:szCs w:val="22"/>
          <w:u w:val="none"/>
          <w:lang w:eastAsia="zh-CN"/>
        </w:rPr>
        <w:t>因考勤、进修等等原因扣发的基础性绩效工资，补充入该二级单位奖励性绩效工资总量中</w:t>
      </w:r>
      <w:r>
        <w:rPr>
          <w:rFonts w:hint="eastAsia" w:ascii="仿宋" w:hAnsi="仿宋" w:eastAsia="仿宋" w:cs="仿宋"/>
          <w:b w:val="0"/>
          <w:bCs w:val="0"/>
          <w:strike w:val="0"/>
          <w:dstrike w:val="0"/>
          <w:kern w:val="0"/>
          <w:sz w:val="32"/>
          <w:szCs w:val="22"/>
          <w:u w:val="none"/>
        </w:rPr>
        <w:t>。</w:t>
      </w:r>
      <w:r>
        <w:rPr>
          <w:rFonts w:hint="eastAsia" w:ascii="仿宋_GB2312" w:hAnsi="宋体" w:eastAsia="仿宋_GB2312" w:cs="宋体"/>
          <w:spacing w:val="-2"/>
          <w:kern w:val="0"/>
          <w:sz w:val="32"/>
          <w:szCs w:val="32"/>
          <w:u w:val="none"/>
        </w:rPr>
        <w:t xml:space="preserve">                           </w:t>
      </w:r>
    </w:p>
    <w:sectPr>
      <w:headerReference r:id="rId3" w:type="default"/>
      <w:footerReference r:id="rId4" w:type="default"/>
      <w:pgSz w:w="11906" w:h="16838"/>
      <w:pgMar w:top="2041" w:right="1531" w:bottom="1985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AMfG7O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BE5"/>
    <w:rsid w:val="00001105"/>
    <w:rsid w:val="00062921"/>
    <w:rsid w:val="000658AE"/>
    <w:rsid w:val="000658F1"/>
    <w:rsid w:val="0007470A"/>
    <w:rsid w:val="000A32CC"/>
    <w:rsid w:val="000F564A"/>
    <w:rsid w:val="00107EB0"/>
    <w:rsid w:val="00147E62"/>
    <w:rsid w:val="00174AAB"/>
    <w:rsid w:val="00183794"/>
    <w:rsid w:val="001B3E3A"/>
    <w:rsid w:val="001C6BF4"/>
    <w:rsid w:val="001F0C64"/>
    <w:rsid w:val="0023306F"/>
    <w:rsid w:val="00243BE5"/>
    <w:rsid w:val="0028166F"/>
    <w:rsid w:val="00291FA8"/>
    <w:rsid w:val="002A23D0"/>
    <w:rsid w:val="002B4118"/>
    <w:rsid w:val="002C271C"/>
    <w:rsid w:val="002D65B2"/>
    <w:rsid w:val="002F0DC1"/>
    <w:rsid w:val="003207E0"/>
    <w:rsid w:val="003328B3"/>
    <w:rsid w:val="00336F8B"/>
    <w:rsid w:val="00356BB1"/>
    <w:rsid w:val="00367D22"/>
    <w:rsid w:val="00371DA6"/>
    <w:rsid w:val="00376181"/>
    <w:rsid w:val="00392279"/>
    <w:rsid w:val="003C46C4"/>
    <w:rsid w:val="003D4130"/>
    <w:rsid w:val="00405199"/>
    <w:rsid w:val="00421DFC"/>
    <w:rsid w:val="004645D4"/>
    <w:rsid w:val="0048223D"/>
    <w:rsid w:val="004A45E6"/>
    <w:rsid w:val="00500231"/>
    <w:rsid w:val="00501C8D"/>
    <w:rsid w:val="0050502A"/>
    <w:rsid w:val="00513C75"/>
    <w:rsid w:val="00524DC6"/>
    <w:rsid w:val="0054784A"/>
    <w:rsid w:val="00562C4B"/>
    <w:rsid w:val="005664CA"/>
    <w:rsid w:val="00570B5C"/>
    <w:rsid w:val="005A43A0"/>
    <w:rsid w:val="005A5691"/>
    <w:rsid w:val="005B0680"/>
    <w:rsid w:val="005D2BAB"/>
    <w:rsid w:val="006219D6"/>
    <w:rsid w:val="00650BA4"/>
    <w:rsid w:val="0065147A"/>
    <w:rsid w:val="00674D1B"/>
    <w:rsid w:val="006A38A0"/>
    <w:rsid w:val="006A5B03"/>
    <w:rsid w:val="0070762F"/>
    <w:rsid w:val="007167F5"/>
    <w:rsid w:val="00717284"/>
    <w:rsid w:val="0073268F"/>
    <w:rsid w:val="00753B17"/>
    <w:rsid w:val="00757258"/>
    <w:rsid w:val="00761C96"/>
    <w:rsid w:val="007740BC"/>
    <w:rsid w:val="007A7DC8"/>
    <w:rsid w:val="007D7714"/>
    <w:rsid w:val="007E1E66"/>
    <w:rsid w:val="008277F2"/>
    <w:rsid w:val="008630B3"/>
    <w:rsid w:val="00865C7F"/>
    <w:rsid w:val="00876AAB"/>
    <w:rsid w:val="00881A02"/>
    <w:rsid w:val="00887822"/>
    <w:rsid w:val="00892EA8"/>
    <w:rsid w:val="008C6409"/>
    <w:rsid w:val="008C75EF"/>
    <w:rsid w:val="008E196F"/>
    <w:rsid w:val="008F7CA8"/>
    <w:rsid w:val="00903798"/>
    <w:rsid w:val="00935AAF"/>
    <w:rsid w:val="00940F2E"/>
    <w:rsid w:val="00951E13"/>
    <w:rsid w:val="0097274D"/>
    <w:rsid w:val="00985571"/>
    <w:rsid w:val="009B2E5A"/>
    <w:rsid w:val="009C2FFC"/>
    <w:rsid w:val="009D5691"/>
    <w:rsid w:val="009E7844"/>
    <w:rsid w:val="00A02999"/>
    <w:rsid w:val="00A13388"/>
    <w:rsid w:val="00A1343B"/>
    <w:rsid w:val="00A13855"/>
    <w:rsid w:val="00A14C53"/>
    <w:rsid w:val="00A25AC0"/>
    <w:rsid w:val="00A26DE4"/>
    <w:rsid w:val="00A45F93"/>
    <w:rsid w:val="00A65E0E"/>
    <w:rsid w:val="00A82F5A"/>
    <w:rsid w:val="00A949B6"/>
    <w:rsid w:val="00AA0488"/>
    <w:rsid w:val="00AC3122"/>
    <w:rsid w:val="00B00307"/>
    <w:rsid w:val="00B02DFF"/>
    <w:rsid w:val="00B36CBA"/>
    <w:rsid w:val="00B51276"/>
    <w:rsid w:val="00B55C23"/>
    <w:rsid w:val="00B71C97"/>
    <w:rsid w:val="00B9519F"/>
    <w:rsid w:val="00BF4EA5"/>
    <w:rsid w:val="00C035B7"/>
    <w:rsid w:val="00C7160B"/>
    <w:rsid w:val="00C808A8"/>
    <w:rsid w:val="00C909A9"/>
    <w:rsid w:val="00CC337B"/>
    <w:rsid w:val="00CD2E80"/>
    <w:rsid w:val="00CF29CA"/>
    <w:rsid w:val="00D00170"/>
    <w:rsid w:val="00D211BB"/>
    <w:rsid w:val="00D332CF"/>
    <w:rsid w:val="00D36933"/>
    <w:rsid w:val="00D37533"/>
    <w:rsid w:val="00D45DBE"/>
    <w:rsid w:val="00D464DF"/>
    <w:rsid w:val="00D547A2"/>
    <w:rsid w:val="00D54EB8"/>
    <w:rsid w:val="00D83B0D"/>
    <w:rsid w:val="00D95825"/>
    <w:rsid w:val="00DB2F32"/>
    <w:rsid w:val="00DC4426"/>
    <w:rsid w:val="00DD3A0A"/>
    <w:rsid w:val="00DD590F"/>
    <w:rsid w:val="00E31F97"/>
    <w:rsid w:val="00E372B0"/>
    <w:rsid w:val="00E4054A"/>
    <w:rsid w:val="00E549E5"/>
    <w:rsid w:val="00E6483C"/>
    <w:rsid w:val="00E71EC2"/>
    <w:rsid w:val="00E7662F"/>
    <w:rsid w:val="00E96A11"/>
    <w:rsid w:val="00EA2A41"/>
    <w:rsid w:val="00EC38D7"/>
    <w:rsid w:val="00EE18D1"/>
    <w:rsid w:val="00EE7FD7"/>
    <w:rsid w:val="00F41650"/>
    <w:rsid w:val="00F611FA"/>
    <w:rsid w:val="00F64241"/>
    <w:rsid w:val="00F847EB"/>
    <w:rsid w:val="00FA347F"/>
    <w:rsid w:val="00FA547B"/>
    <w:rsid w:val="00FA5B4D"/>
    <w:rsid w:val="00FE01E4"/>
    <w:rsid w:val="01F55FDB"/>
    <w:rsid w:val="02481E52"/>
    <w:rsid w:val="02B17CEA"/>
    <w:rsid w:val="02CE084B"/>
    <w:rsid w:val="0324485C"/>
    <w:rsid w:val="03690B1F"/>
    <w:rsid w:val="050D5D5B"/>
    <w:rsid w:val="05AF0F30"/>
    <w:rsid w:val="062C6964"/>
    <w:rsid w:val="08D91556"/>
    <w:rsid w:val="09030CD2"/>
    <w:rsid w:val="093C6B2E"/>
    <w:rsid w:val="0A2A5931"/>
    <w:rsid w:val="0A3C4360"/>
    <w:rsid w:val="0AB152BA"/>
    <w:rsid w:val="0B021B09"/>
    <w:rsid w:val="0B1F51F9"/>
    <w:rsid w:val="0BB74698"/>
    <w:rsid w:val="0CC2753B"/>
    <w:rsid w:val="0D1709E3"/>
    <w:rsid w:val="0F43630E"/>
    <w:rsid w:val="10D81A65"/>
    <w:rsid w:val="11226E4F"/>
    <w:rsid w:val="11835D60"/>
    <w:rsid w:val="14A65F06"/>
    <w:rsid w:val="14C667C5"/>
    <w:rsid w:val="165A6791"/>
    <w:rsid w:val="175A3F5B"/>
    <w:rsid w:val="17A525C4"/>
    <w:rsid w:val="17E35E75"/>
    <w:rsid w:val="1A474452"/>
    <w:rsid w:val="1B494872"/>
    <w:rsid w:val="1B767038"/>
    <w:rsid w:val="1D99163F"/>
    <w:rsid w:val="1DA67768"/>
    <w:rsid w:val="1F763733"/>
    <w:rsid w:val="1FF526B4"/>
    <w:rsid w:val="20E24FCE"/>
    <w:rsid w:val="212D374C"/>
    <w:rsid w:val="21B23D4B"/>
    <w:rsid w:val="248E452F"/>
    <w:rsid w:val="27093984"/>
    <w:rsid w:val="279F533E"/>
    <w:rsid w:val="27B24A8A"/>
    <w:rsid w:val="28974650"/>
    <w:rsid w:val="29AA40AA"/>
    <w:rsid w:val="29EA50D0"/>
    <w:rsid w:val="29FE306D"/>
    <w:rsid w:val="2A831461"/>
    <w:rsid w:val="2B0A09AC"/>
    <w:rsid w:val="2B545466"/>
    <w:rsid w:val="2F782E0E"/>
    <w:rsid w:val="31EC6638"/>
    <w:rsid w:val="3272505B"/>
    <w:rsid w:val="32914EDC"/>
    <w:rsid w:val="344056AA"/>
    <w:rsid w:val="3454196B"/>
    <w:rsid w:val="34B00FA5"/>
    <w:rsid w:val="3558030C"/>
    <w:rsid w:val="371C3BC4"/>
    <w:rsid w:val="38BC3C28"/>
    <w:rsid w:val="3A2B1F63"/>
    <w:rsid w:val="3C546283"/>
    <w:rsid w:val="3C683ECD"/>
    <w:rsid w:val="3CB90E59"/>
    <w:rsid w:val="3D1F7AD1"/>
    <w:rsid w:val="3E1E5461"/>
    <w:rsid w:val="3EA45625"/>
    <w:rsid w:val="3EAC327F"/>
    <w:rsid w:val="3FA53C20"/>
    <w:rsid w:val="40E73111"/>
    <w:rsid w:val="42067597"/>
    <w:rsid w:val="43C86843"/>
    <w:rsid w:val="440442B1"/>
    <w:rsid w:val="457869F8"/>
    <w:rsid w:val="466364DC"/>
    <w:rsid w:val="483A64D5"/>
    <w:rsid w:val="49AE572C"/>
    <w:rsid w:val="49BB1C65"/>
    <w:rsid w:val="49FF2301"/>
    <w:rsid w:val="4BA863BE"/>
    <w:rsid w:val="4D1F438E"/>
    <w:rsid w:val="4D6A67E7"/>
    <w:rsid w:val="4E7C0193"/>
    <w:rsid w:val="504074D1"/>
    <w:rsid w:val="50DB7D0B"/>
    <w:rsid w:val="50E349FA"/>
    <w:rsid w:val="5524339A"/>
    <w:rsid w:val="55961C7C"/>
    <w:rsid w:val="559F3CFE"/>
    <w:rsid w:val="55DF160C"/>
    <w:rsid w:val="5609631F"/>
    <w:rsid w:val="561846A9"/>
    <w:rsid w:val="565333E8"/>
    <w:rsid w:val="574B7394"/>
    <w:rsid w:val="578969C9"/>
    <w:rsid w:val="57D829C8"/>
    <w:rsid w:val="5B1041D3"/>
    <w:rsid w:val="5B12722B"/>
    <w:rsid w:val="5C7024C3"/>
    <w:rsid w:val="5F782F90"/>
    <w:rsid w:val="61796F74"/>
    <w:rsid w:val="64A5063F"/>
    <w:rsid w:val="650760ED"/>
    <w:rsid w:val="65720454"/>
    <w:rsid w:val="667163D8"/>
    <w:rsid w:val="66BC119B"/>
    <w:rsid w:val="67942EE5"/>
    <w:rsid w:val="67BF4349"/>
    <w:rsid w:val="68B94A69"/>
    <w:rsid w:val="6A751676"/>
    <w:rsid w:val="6ADA4315"/>
    <w:rsid w:val="6AE14D63"/>
    <w:rsid w:val="6C36283C"/>
    <w:rsid w:val="6C432908"/>
    <w:rsid w:val="6CF8060F"/>
    <w:rsid w:val="6D2C3AA0"/>
    <w:rsid w:val="6D3234D1"/>
    <w:rsid w:val="6E807210"/>
    <w:rsid w:val="71691B29"/>
    <w:rsid w:val="72AF3F66"/>
    <w:rsid w:val="73A34C34"/>
    <w:rsid w:val="7AA03D09"/>
    <w:rsid w:val="7DF90F0D"/>
    <w:rsid w:val="7FDF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2"/>
    <w:qFormat/>
    <w:uiPriority w:val="0"/>
    <w:rPr>
      <w:rFonts w:ascii="宋体"/>
      <w:sz w:val="18"/>
      <w:szCs w:val="18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qFormat/>
    <w:uiPriority w:val="0"/>
    <w:rPr>
      <w:color w:val="0000FF"/>
      <w:u w:val="single"/>
    </w:rPr>
  </w:style>
  <w:style w:type="character" w:customStyle="1" w:styleId="11">
    <w:name w:val="页脚 Char"/>
    <w:basedOn w:val="9"/>
    <w:link w:val="5"/>
    <w:qFormat/>
    <w:uiPriority w:val="99"/>
    <w:rPr>
      <w:kern w:val="2"/>
      <w:sz w:val="18"/>
      <w:szCs w:val="18"/>
    </w:rPr>
  </w:style>
  <w:style w:type="character" w:customStyle="1" w:styleId="12">
    <w:name w:val="文档结构图 Char"/>
    <w:basedOn w:val="9"/>
    <w:link w:val="3"/>
    <w:qFormat/>
    <w:uiPriority w:val="0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8</Pages>
  <Words>531</Words>
  <Characters>3033</Characters>
  <Lines>25</Lines>
  <Paragraphs>7</Paragraphs>
  <TotalTime>169</TotalTime>
  <ScaleCrop>false</ScaleCrop>
  <LinksUpToDate>false</LinksUpToDate>
  <CharactersWithSpaces>3557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2020-02-12T00:50:00Z</dcterms:created>
  <dc:creator>雨林木风</dc:creator>
  <cp:lastModifiedBy>王贵林</cp:lastModifiedBy>
  <cp:lastPrinted>2020-09-23T08:04:00Z</cp:lastPrinted>
  <dcterms:modified xsi:type="dcterms:W3CDTF">2020-09-24T07:12:13Z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